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78" w:rsidRPr="00C22336" w:rsidRDefault="006B5578"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cs="Arial"/>
          <w:color w:val="auto"/>
          <w:szCs w:val="18"/>
        </w:rPr>
      </w:pPr>
      <w:r w:rsidRPr="00C22336">
        <w:rPr>
          <w:rFonts w:cs="Arial"/>
          <w:color w:val="auto"/>
          <w:szCs w:val="18"/>
        </w:rPr>
        <w:t>Proposed amendment to the Town of Dryden Zoning Law</w:t>
      </w:r>
    </w:p>
    <w:p w:rsidR="006B5578" w:rsidRPr="00C22336" w:rsidRDefault="006B5578"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Arial"/>
          <w:color w:val="auto"/>
          <w:szCs w:val="18"/>
        </w:rPr>
      </w:pPr>
      <w:proofErr w:type="gramStart"/>
      <w:r w:rsidRPr="00C22336">
        <w:rPr>
          <w:rFonts w:cs="Arial"/>
          <w:color w:val="auto"/>
          <w:szCs w:val="18"/>
        </w:rPr>
        <w:t>LOCAL LAW NO.</w:t>
      </w:r>
      <w:proofErr w:type="gramEnd"/>
      <w:r w:rsidRPr="00C22336">
        <w:rPr>
          <w:rFonts w:cs="Arial"/>
          <w:color w:val="auto"/>
          <w:szCs w:val="18"/>
        </w:rPr>
        <w:t xml:space="preserve"> </w:t>
      </w:r>
      <w:r>
        <w:rPr>
          <w:rFonts w:cs="Arial"/>
          <w:color w:val="auto"/>
          <w:szCs w:val="18"/>
        </w:rPr>
        <w:t>___</w:t>
      </w:r>
      <w:r w:rsidRPr="00C22336">
        <w:rPr>
          <w:rFonts w:cs="Arial"/>
          <w:color w:val="auto"/>
          <w:szCs w:val="18"/>
        </w:rPr>
        <w:t xml:space="preserve">OF THE YEAR 2016 </w:t>
      </w: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18"/>
          <w:szCs w:val="18"/>
        </w:rPr>
      </w:pPr>
      <w:r w:rsidRPr="00C22336">
        <w:rPr>
          <w:rFonts w:ascii="Arial" w:hAnsi="Arial" w:cs="Arial"/>
          <w:sz w:val="18"/>
          <w:szCs w:val="18"/>
        </w:rPr>
        <w:t>A LOCAL LAW TO AMEND THE TOWN OF DRYDEN ZONING LAW TO ADD DENSITY REGULATIONS FOR THE RURAL RESIDENTIAL, RURAL AGRICULTURAL, NEIGHBORHOOD RESIDENTIAL, AND CONSERVATION DISTRICTS, AND SPECIFY THE REVIEW REQUIRED.</w:t>
      </w: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18"/>
          <w:szCs w:val="18"/>
        </w:rPr>
      </w:pP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sz w:val="18"/>
          <w:szCs w:val="18"/>
        </w:rPr>
      </w:pPr>
      <w:r w:rsidRPr="00C22336">
        <w:rPr>
          <w:rFonts w:ascii="Arial" w:hAnsi="Arial" w:cs="Arial"/>
          <w:sz w:val="18"/>
          <w:szCs w:val="18"/>
        </w:rPr>
        <w:t>Be it enacted by the Town Board of the Town of Dryden as follows:</w:t>
      </w:r>
    </w:p>
    <w:p w:rsidR="0057267B" w:rsidRDefault="0057267B" w:rsidP="006B55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sz w:val="18"/>
          <w:szCs w:val="18"/>
        </w:rPr>
      </w:pPr>
    </w:p>
    <w:p w:rsidR="006B5578" w:rsidRPr="00C22336" w:rsidRDefault="006B5578" w:rsidP="006B55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sz w:val="18"/>
          <w:szCs w:val="18"/>
        </w:rPr>
      </w:pPr>
      <w:proofErr w:type="gramStart"/>
      <w:r w:rsidRPr="00C22336">
        <w:rPr>
          <w:rFonts w:ascii="Arial" w:hAnsi="Arial" w:cs="Arial"/>
          <w:sz w:val="18"/>
          <w:szCs w:val="18"/>
        </w:rPr>
        <w:t>SECTION 1.</w:t>
      </w:r>
      <w:proofErr w:type="gramEnd"/>
      <w:r w:rsidRPr="00C22336">
        <w:rPr>
          <w:rFonts w:ascii="Arial" w:hAnsi="Arial" w:cs="Arial"/>
          <w:sz w:val="18"/>
          <w:szCs w:val="18"/>
        </w:rPr>
        <w:t xml:space="preserve">  A new section 606 of the Zoning Law is hereby enacted to read as follows:</w:t>
      </w:r>
    </w:p>
    <w:p w:rsidR="006B5578" w:rsidRPr="00C22336" w:rsidRDefault="006B5578" w:rsidP="006B5578">
      <w:pPr>
        <w:pStyle w:val="Body"/>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cs="Arial"/>
          <w:color w:val="auto"/>
          <w:szCs w:val="18"/>
        </w:rPr>
      </w:pPr>
      <w:r w:rsidRPr="00C22336">
        <w:rPr>
          <w:rFonts w:cs="Arial"/>
          <w:color w:val="auto"/>
          <w:szCs w:val="18"/>
        </w:rPr>
        <w:t>Section 606:  Density in the Rural Residential and Rural Agricultural districts:</w:t>
      </w:r>
    </w:p>
    <w:p w:rsidR="006B5578" w:rsidRPr="00C22336" w:rsidRDefault="006B5578"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Arial"/>
          <w:color w:val="auto"/>
          <w:szCs w:val="18"/>
        </w:rPr>
      </w:pPr>
      <w:r w:rsidRPr="00C22336">
        <w:rPr>
          <w:rFonts w:cs="Arial"/>
          <w:color w:val="auto"/>
          <w:szCs w:val="18"/>
        </w:rPr>
        <w:t xml:space="preserve">Single-, Two-, and Multi-Family dwellings are permitted subject to a maximum allowable density of 2 Dwelling Units per acre with a maximum of 10 Dwelling Units per lot. Subject to the foregoing limits the maximum number of Dwellings that can be built on a lot is the equal to maximum number of conforming lots that could be created if the lot were subdivided, as calculated by the Town Planning Director.  This determination by the Town Planning Director of the maximum number of Dwellings shall be recorded in the Tompkins County Clerk’s Office and cross-referenced to the deed of the lot in question and the maximum number of Dwellings for </w:t>
      </w:r>
      <w:proofErr w:type="spellStart"/>
      <w:r w:rsidRPr="00C22336">
        <w:rPr>
          <w:rFonts w:cs="Arial"/>
          <w:color w:val="auto"/>
          <w:szCs w:val="18"/>
        </w:rPr>
        <w:t>said</w:t>
      </w:r>
      <w:proofErr w:type="spellEnd"/>
      <w:r w:rsidRPr="00C22336">
        <w:rPr>
          <w:rFonts w:cs="Arial"/>
          <w:color w:val="auto"/>
          <w:szCs w:val="18"/>
        </w:rPr>
        <w:t xml:space="preserve"> lot shall not increase even if </w:t>
      </w:r>
      <w:proofErr w:type="spellStart"/>
      <w:r w:rsidRPr="00C22336">
        <w:rPr>
          <w:rFonts w:cs="Arial"/>
          <w:color w:val="auto"/>
          <w:szCs w:val="18"/>
        </w:rPr>
        <w:t>said</w:t>
      </w:r>
      <w:proofErr w:type="spellEnd"/>
      <w:r w:rsidRPr="00C22336">
        <w:rPr>
          <w:rFonts w:cs="Arial"/>
          <w:color w:val="auto"/>
          <w:szCs w:val="18"/>
        </w:rPr>
        <w:t xml:space="preserve"> lot is thereafter subdivided.  </w:t>
      </w:r>
    </w:p>
    <w:p w:rsidR="006B5578" w:rsidRPr="00C22336" w:rsidRDefault="000F6740" w:rsidP="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Arial"/>
          <w:strike/>
          <w:color w:val="auto"/>
          <w:szCs w:val="18"/>
        </w:rPr>
      </w:pPr>
      <w:r w:rsidRPr="000F6740">
        <w:rPr>
          <w:rFonts w:cs="Arial"/>
          <w:szCs w:val="18"/>
        </w:rPr>
        <w:pict>
          <v:shapetype id="_x0000_t202" coordsize="21600,21600" o:spt="202" path="m,l,21600r21600,l21600,xe">
            <v:stroke joinstyle="miter"/>
            <v:path gradientshapeok="t" o:connecttype="rect"/>
          </v:shapetype>
          <v:shape id="_x0000_s1026" type="#_x0000_t202" style="position:absolute;left:0;text-align:left;margin-left:12.6pt;margin-top:24.1pt;width:442.8pt;height:62.15pt;z-index:251658240;mso-wrap-edited:f;mso-wrap-distance-left:10.8pt;mso-wrap-distance-right:10.8pt" o:allowincell="f" stroked="f">
            <v:textbox style="mso-next-textbox:#_x0000_s1026" inset="0,0,0,0">
              <w:txbxContent>
                <w:tbl>
                  <w:tblPr>
                    <w:tblW w:w="0" w:type="auto"/>
                    <w:tblInd w:w="108" w:type="dxa"/>
                    <w:tblBorders>
                      <w:top w:val="nil"/>
                      <w:left w:val="nil"/>
                      <w:bottom w:val="nil"/>
                      <w:right w:val="nil"/>
                      <w:insideH w:val="nil"/>
                      <w:insideV w:val="nil"/>
                    </w:tblBorders>
                    <w:tblLayout w:type="fixed"/>
                    <w:tblLook w:val="0000"/>
                  </w:tblPr>
                  <w:tblGrid>
                    <w:gridCol w:w="2977"/>
                    <w:gridCol w:w="2923"/>
                    <w:gridCol w:w="236"/>
                  </w:tblGrid>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Number of Dwellings  on a lot</w:t>
                        </w:r>
                      </w:p>
                    </w:tc>
                    <w:tc>
                      <w:tcPr>
                        <w:tcW w:w="2923"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Review required</w:t>
                        </w:r>
                      </w:p>
                    </w:tc>
                    <w:tc>
                      <w:tcPr>
                        <w:tcW w:w="236"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1 Single- or Two-Family Dwelling</w:t>
                        </w:r>
                      </w:p>
                    </w:tc>
                    <w:tc>
                      <w:tcPr>
                        <w:tcW w:w="2923"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No SPR or SUP required</w:t>
                        </w:r>
                      </w:p>
                    </w:tc>
                    <w:tc>
                      <w:tcPr>
                        <w:tcW w:w="236"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rsidP="00CD0EAE">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 xml:space="preserve">2-4 Single or Two-Family Dwellings </w:t>
                        </w:r>
                      </w:p>
                    </w:tc>
                    <w:tc>
                      <w:tcPr>
                        <w:tcW w:w="2923"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SPR (Site Plan Review)</w:t>
                        </w:r>
                      </w:p>
                    </w:tc>
                    <w:tc>
                      <w:tcPr>
                        <w:tcW w:w="236"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r w:rsidR="006B5578" w:rsidRPr="004E0F7E" w:rsidTr="00CD0EAE">
                    <w:tc>
                      <w:tcPr>
                        <w:tcW w:w="2977"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All others</w:t>
                        </w:r>
                      </w:p>
                    </w:tc>
                    <w:tc>
                      <w:tcPr>
                        <w:tcW w:w="2923"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C22336"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Cs w:val="18"/>
                          </w:rPr>
                        </w:pPr>
                        <w:r w:rsidRPr="00C22336">
                          <w:rPr>
                            <w:rFonts w:cs="Arial"/>
                            <w:color w:val="auto"/>
                            <w:szCs w:val="18"/>
                          </w:rPr>
                          <w:t>SUP</w:t>
                        </w:r>
                      </w:p>
                    </w:tc>
                    <w:tc>
                      <w:tcPr>
                        <w:tcW w:w="236"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6B5578" w:rsidRPr="004E0F7E" w:rsidRDefault="006B5578">
                        <w:pPr>
                          <w:pStyle w:val="Body"/>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cs="Arial"/>
                            <w:color w:val="auto"/>
                            <w:sz w:val="20"/>
                          </w:rPr>
                        </w:pPr>
                      </w:p>
                    </w:tc>
                  </w:tr>
                </w:tbl>
                <w:p w:rsidR="006B5578"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olor w:val="000000"/>
                      <w:sz w:val="22"/>
                    </w:rPr>
                  </w:pPr>
                </w:p>
              </w:txbxContent>
            </v:textbox>
            <w10:wrap type="square"/>
          </v:shape>
        </w:pict>
      </w:r>
      <w:r w:rsidR="006B5578" w:rsidRPr="00C22336">
        <w:rPr>
          <w:rFonts w:cs="Arial"/>
          <w:color w:val="auto"/>
          <w:szCs w:val="18"/>
        </w:rPr>
        <w:t>The following review is required:</w:t>
      </w:r>
    </w:p>
    <w:p w:rsidR="006B5578" w:rsidRPr="00C22336" w:rsidRDefault="006B5578" w:rsidP="006B5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ind w:left="720"/>
        <w:rPr>
          <w:rFonts w:cs="Arial"/>
          <w:sz w:val="18"/>
          <w:szCs w:val="18"/>
        </w:rPr>
      </w:pPr>
      <w:r w:rsidRPr="00C22336">
        <w:rPr>
          <w:rFonts w:cs="Arial"/>
          <w:sz w:val="18"/>
          <w:szCs w:val="18"/>
        </w:rPr>
        <w:t>These provisions shall not apply to farm worker housing on lots on which a Farm Operation is conducted.</w:t>
      </w:r>
    </w:p>
    <w:p w:rsidR="006B5578" w:rsidRPr="00C22336" w:rsidRDefault="006B5578" w:rsidP="006B5578">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s="Arial"/>
          <w:sz w:val="18"/>
          <w:szCs w:val="18"/>
        </w:rPr>
      </w:pPr>
      <w:proofErr w:type="gramStart"/>
      <w:r w:rsidRPr="00C22336">
        <w:rPr>
          <w:rFonts w:ascii="Arial" w:hAnsi="Arial" w:cs="Arial"/>
          <w:sz w:val="18"/>
          <w:szCs w:val="18"/>
          <w:u w:val="single"/>
        </w:rPr>
        <w:t>SECTION 2.</w:t>
      </w:r>
      <w:proofErr w:type="gramEnd"/>
      <w:r w:rsidRPr="00C22336">
        <w:rPr>
          <w:rFonts w:ascii="Arial" w:hAnsi="Arial" w:cs="Arial"/>
          <w:sz w:val="18"/>
          <w:szCs w:val="18"/>
        </w:rPr>
        <w:t xml:space="preserve">  A new section 607 of the Zoning Law is hereby enacted to read as follows:</w:t>
      </w:r>
    </w:p>
    <w:p w:rsidR="006B5578" w:rsidRPr="00C22336" w:rsidRDefault="006B5578" w:rsidP="006B5578">
      <w:pPr>
        <w:pStyle w:val="Body"/>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cs="Arial"/>
          <w:color w:val="auto"/>
          <w:szCs w:val="18"/>
        </w:rPr>
      </w:pPr>
      <w:r w:rsidRPr="00C22336">
        <w:rPr>
          <w:rFonts w:cs="Arial"/>
          <w:color w:val="auto"/>
          <w:szCs w:val="18"/>
        </w:rPr>
        <w:t>Section 607:  Density in the Neighborhood Residential and Conservation districts:</w:t>
      </w:r>
    </w:p>
    <w:p w:rsidR="006B5578" w:rsidRPr="00C22336" w:rsidRDefault="006B5578" w:rsidP="006B5578">
      <w:pPr>
        <w:pStyle w:val="Body"/>
        <w:widowControl/>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left="720"/>
        <w:rPr>
          <w:rFonts w:cs="Arial"/>
          <w:color w:val="auto"/>
          <w:szCs w:val="18"/>
        </w:rPr>
      </w:pPr>
      <w:r w:rsidRPr="00C22336">
        <w:rPr>
          <w:rFonts w:cs="Arial"/>
          <w:color w:val="auto"/>
          <w:szCs w:val="18"/>
        </w:rPr>
        <w:t>In the Neighborhood Residential District only one Single-Family Dwelling plus one Accessory Unit Dwelling is allowed.  In the Conservation District only the following is allowed: one Single-Family Dwelling plus one Accessory Unit Dwelling, or one Two-Family Dwelling.</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proofErr w:type="gramStart"/>
      <w:r w:rsidRPr="00C22336">
        <w:rPr>
          <w:rFonts w:ascii="Arial" w:hAnsi="Arial" w:cs="Arial"/>
          <w:sz w:val="18"/>
          <w:szCs w:val="18"/>
          <w:u w:val="single"/>
        </w:rPr>
        <w:t>SECTION 3.</w:t>
      </w:r>
      <w:proofErr w:type="gramEnd"/>
      <w:r w:rsidRPr="00C22336">
        <w:rPr>
          <w:rFonts w:ascii="Arial" w:hAnsi="Arial" w:cs="Arial"/>
          <w:sz w:val="18"/>
          <w:szCs w:val="18"/>
          <w:u w:val="single"/>
        </w:rPr>
        <w:t xml:space="preserve"> </w:t>
      </w:r>
      <w:r w:rsidRPr="00C22336">
        <w:rPr>
          <w:rFonts w:ascii="Arial" w:hAnsi="Arial" w:cs="Arial"/>
          <w:sz w:val="18"/>
          <w:szCs w:val="18"/>
        </w:rPr>
        <w:t xml:space="preserve"> The Allowable Use Groups Chart in Section 501 is amended to read “See Section 606</w:t>
      </w:r>
      <w:proofErr w:type="gramStart"/>
      <w:r w:rsidRPr="00C22336">
        <w:rPr>
          <w:rFonts w:ascii="Arial" w:hAnsi="Arial" w:cs="Arial"/>
          <w:sz w:val="18"/>
          <w:szCs w:val="18"/>
        </w:rPr>
        <w:t>”  for</w:t>
      </w:r>
      <w:proofErr w:type="gramEnd"/>
      <w:r w:rsidRPr="00C22336">
        <w:rPr>
          <w:rFonts w:ascii="Arial" w:hAnsi="Arial" w:cs="Arial"/>
          <w:sz w:val="18"/>
          <w:szCs w:val="18"/>
        </w:rPr>
        <w:t xml:space="preserve"> the following uses:  “Dwelling, multi-family”;  “Dwelling, single-family”; and “Dwelling, two-family”  under the RR and RA districts. The Allowable Use Groups Chart in Section 501 is amended to read “See Section 607</w:t>
      </w:r>
      <w:proofErr w:type="gramStart"/>
      <w:r w:rsidRPr="00C22336">
        <w:rPr>
          <w:rFonts w:ascii="Arial" w:hAnsi="Arial" w:cs="Arial"/>
          <w:sz w:val="18"/>
          <w:szCs w:val="18"/>
        </w:rPr>
        <w:t>”  for</w:t>
      </w:r>
      <w:proofErr w:type="gramEnd"/>
      <w:r w:rsidRPr="00C22336">
        <w:rPr>
          <w:rFonts w:ascii="Arial" w:hAnsi="Arial" w:cs="Arial"/>
          <w:sz w:val="18"/>
          <w:szCs w:val="18"/>
        </w:rPr>
        <w:t xml:space="preserve"> the following use:  “Dwelling, single-family”  under the NR district.</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r w:rsidRPr="00C22336">
        <w:rPr>
          <w:rFonts w:ascii="Arial" w:hAnsi="Arial" w:cs="Arial"/>
          <w:sz w:val="18"/>
          <w:szCs w:val="18"/>
        </w:rPr>
        <w:t>The Allowable Use Groups Chart in Section 501 is amended to read “See Section 607</w:t>
      </w:r>
      <w:proofErr w:type="gramStart"/>
      <w:r w:rsidRPr="00C22336">
        <w:rPr>
          <w:rFonts w:ascii="Arial" w:hAnsi="Arial" w:cs="Arial"/>
          <w:sz w:val="18"/>
          <w:szCs w:val="18"/>
        </w:rPr>
        <w:t>”  for</w:t>
      </w:r>
      <w:proofErr w:type="gramEnd"/>
      <w:r w:rsidRPr="00C22336">
        <w:rPr>
          <w:rFonts w:ascii="Arial" w:hAnsi="Arial" w:cs="Arial"/>
          <w:sz w:val="18"/>
          <w:szCs w:val="18"/>
        </w:rPr>
        <w:t xml:space="preserve"> the following uses:  “Dwelling, single-family”; and “Dwelling, two-family”  under the CV districts.</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trike/>
          <w:sz w:val="18"/>
          <w:szCs w:val="18"/>
        </w:rPr>
      </w:pPr>
      <w:proofErr w:type="gramStart"/>
      <w:r w:rsidRPr="00C22336">
        <w:rPr>
          <w:rFonts w:ascii="Arial" w:hAnsi="Arial" w:cs="Arial"/>
          <w:sz w:val="18"/>
          <w:szCs w:val="18"/>
          <w:u w:val="single"/>
        </w:rPr>
        <w:t>SECTION 4.</w:t>
      </w:r>
      <w:proofErr w:type="gramEnd"/>
      <w:r w:rsidRPr="00C22336">
        <w:rPr>
          <w:rFonts w:ascii="Arial" w:hAnsi="Arial" w:cs="Arial"/>
          <w:sz w:val="18"/>
          <w:szCs w:val="18"/>
        </w:rPr>
        <w:t xml:space="preserve">  Section 501 B) of the Zoning Law is hereby amended by addition of the following language:  “4</w:t>
      </w:r>
      <w:proofErr w:type="gramStart"/>
      <w:r w:rsidRPr="00C22336">
        <w:rPr>
          <w:rFonts w:ascii="Arial" w:hAnsi="Arial" w:cs="Arial"/>
          <w:sz w:val="18"/>
          <w:szCs w:val="18"/>
        </w:rPr>
        <w:t>)  wherever</w:t>
      </w:r>
      <w:proofErr w:type="gramEnd"/>
      <w:r w:rsidRPr="00C22336">
        <w:rPr>
          <w:rFonts w:ascii="Arial" w:hAnsi="Arial" w:cs="Arial"/>
          <w:sz w:val="18"/>
          <w:szCs w:val="18"/>
        </w:rPr>
        <w:t xml:space="preserve"> specifically required by other sections of this law.”</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proofErr w:type="gramStart"/>
      <w:r w:rsidRPr="00C22336">
        <w:rPr>
          <w:rFonts w:ascii="Arial" w:hAnsi="Arial" w:cs="Arial"/>
          <w:sz w:val="18"/>
          <w:szCs w:val="18"/>
          <w:u w:val="single"/>
        </w:rPr>
        <w:t>SECTION 5.</w:t>
      </w:r>
      <w:proofErr w:type="gramEnd"/>
      <w:r w:rsidRPr="00C22336">
        <w:rPr>
          <w:rFonts w:ascii="Arial" w:hAnsi="Arial" w:cs="Arial"/>
          <w:sz w:val="18"/>
          <w:szCs w:val="18"/>
        </w:rPr>
        <w:t xml:space="preserve">  This local law shall take effect upon filing in the office of the Secretary of State.</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rPr>
          <w:rFonts w:ascii="Arial" w:hAnsi="Arial" w:cs="Arial"/>
          <w:sz w:val="18"/>
          <w:szCs w:val="18"/>
        </w:rPr>
      </w:pPr>
      <w:proofErr w:type="gramStart"/>
      <w:r w:rsidRPr="00C22336">
        <w:rPr>
          <w:rFonts w:ascii="Arial" w:hAnsi="Arial" w:cs="Arial"/>
          <w:sz w:val="18"/>
          <w:szCs w:val="18"/>
          <w:u w:val="single"/>
        </w:rPr>
        <w:t>SECTION 6.</w:t>
      </w:r>
      <w:proofErr w:type="gramEnd"/>
      <w:r w:rsidRPr="00C22336">
        <w:rPr>
          <w:rFonts w:ascii="Arial" w:hAnsi="Arial" w:cs="Arial"/>
          <w:sz w:val="18"/>
          <w:szCs w:val="18"/>
        </w:rPr>
        <w:t xml:space="preserve"> The provisions of this local law are severable.  If any court of competent jurisdiction decides that any section, clause, sentence, part or provision of this local law is illegal, invalid, or unconstitutional, such decision shall not affect, impair, or invalidate any of the remaining sections clauses, sentences, parts, or provisions of the Local Law.</w:t>
      </w:r>
    </w:p>
    <w:p w:rsidR="006B5578" w:rsidRPr="00C22336" w:rsidRDefault="006B5578" w:rsidP="006B557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rPr>
          <w:rFonts w:ascii="Arial" w:hAnsi="Arial" w:cs="Arial"/>
          <w:sz w:val="18"/>
          <w:szCs w:val="18"/>
        </w:rPr>
      </w:pPr>
      <w:proofErr w:type="gramStart"/>
      <w:r w:rsidRPr="00C22336">
        <w:rPr>
          <w:rFonts w:ascii="Arial" w:hAnsi="Arial" w:cs="Arial"/>
          <w:sz w:val="18"/>
          <w:szCs w:val="18"/>
          <w:u w:val="single"/>
        </w:rPr>
        <w:lastRenderedPageBreak/>
        <w:t>SECTION 7.</w:t>
      </w:r>
      <w:proofErr w:type="gramEnd"/>
      <w:r w:rsidRPr="00C22336">
        <w:rPr>
          <w:rFonts w:ascii="Arial" w:hAnsi="Arial" w:cs="Arial"/>
          <w:sz w:val="18"/>
          <w:szCs w:val="18"/>
          <w:u w:val="single"/>
        </w:rPr>
        <w:t xml:space="preserve"> </w:t>
      </w:r>
      <w:r w:rsidRPr="00C22336">
        <w:rPr>
          <w:rFonts w:ascii="Arial" w:hAnsi="Arial" w:cs="Arial"/>
          <w:sz w:val="18"/>
          <w:szCs w:val="18"/>
        </w:rPr>
        <w:t>This local law shall supersede or repeal any prior inconsistent Local Law.</w:t>
      </w:r>
    </w:p>
    <w:p w:rsidR="006E19ED" w:rsidRDefault="006E19ED"/>
    <w:sectPr w:rsidR="006E19ED" w:rsidSect="006E1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6B5578"/>
    <w:rsid w:val="000F6740"/>
    <w:rsid w:val="0057267B"/>
    <w:rsid w:val="005C376C"/>
    <w:rsid w:val="006B5578"/>
    <w:rsid w:val="006E1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B5578"/>
    <w:pPr>
      <w:widowControl w:val="0"/>
      <w:spacing w:after="240"/>
    </w:pPr>
    <w:rPr>
      <w:rFonts w:ascii="Arial" w:hAnsi="Arial"/>
      <w:color w:val="000000"/>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4</DocSecurity>
  <Lines>22</Lines>
  <Paragraphs>6</Paragraphs>
  <ScaleCrop>false</ScaleCrop>
  <Company>Hewlett-Packard Company</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Deputy Clerk</cp:lastModifiedBy>
  <cp:revision>2</cp:revision>
  <dcterms:created xsi:type="dcterms:W3CDTF">2016-02-09T13:58:00Z</dcterms:created>
  <dcterms:modified xsi:type="dcterms:W3CDTF">2016-02-09T13:58:00Z</dcterms:modified>
</cp:coreProperties>
</file>